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D20A6">
        <w:tblPrEx>
          <w:tblCellMar>
            <w:top w:w="0" w:type="dxa"/>
            <w:bottom w:w="0" w:type="dxa"/>
          </w:tblCellMar>
        </w:tblPrEx>
        <w:trPr>
          <w:tblCellSpacing w:w="60" w:type="dxa"/>
        </w:trPr>
        <w:tc>
          <w:tcPr>
            <w:tcW w:w="1200" w:type="pct"/>
            <w:shd w:val="clear" w:color="auto" w:fill="E7F0F9"/>
          </w:tcPr>
          <w:p w:rsidR="009D20A6" w:rsidRDefault="006B070D">
            <w:pPr>
              <w:spacing w:after="0" w:line="240" w:lineRule="auto"/>
            </w:pPr>
            <w:bookmarkStart w:id="0" w:name="_GoBack"/>
            <w:bookmarkEnd w:id="0"/>
            <w:r>
              <w:rPr>
                <w:b/>
              </w:rPr>
              <w:t>RKP broj</w:t>
            </w:r>
          </w:p>
        </w:tc>
        <w:tc>
          <w:tcPr>
            <w:tcW w:w="0" w:type="auto"/>
            <w:shd w:val="clear" w:color="auto" w:fill="E7F0F9"/>
          </w:tcPr>
          <w:p w:rsidR="009D20A6" w:rsidRDefault="006B070D">
            <w:pPr>
              <w:spacing w:after="0" w:line="240" w:lineRule="auto"/>
            </w:pPr>
            <w:r>
              <w:t>9370</w:t>
            </w:r>
          </w:p>
        </w:tc>
      </w:tr>
      <w:tr w:rsidR="009D20A6">
        <w:tblPrEx>
          <w:tblCellMar>
            <w:top w:w="0" w:type="dxa"/>
            <w:bottom w:w="0" w:type="dxa"/>
          </w:tblCellMar>
        </w:tblPrEx>
        <w:trPr>
          <w:tblCellSpacing w:w="60" w:type="dxa"/>
        </w:trPr>
        <w:tc>
          <w:tcPr>
            <w:tcW w:w="1200" w:type="pct"/>
            <w:shd w:val="clear" w:color="auto" w:fill="E7F0F9"/>
          </w:tcPr>
          <w:p w:rsidR="009D20A6" w:rsidRDefault="006B070D">
            <w:pPr>
              <w:spacing w:after="0" w:line="240" w:lineRule="auto"/>
            </w:pPr>
            <w:r>
              <w:rPr>
                <w:b/>
              </w:rPr>
              <w:t>Naziv obveznika</w:t>
            </w:r>
          </w:p>
        </w:tc>
        <w:tc>
          <w:tcPr>
            <w:tcW w:w="0" w:type="auto"/>
            <w:shd w:val="clear" w:color="auto" w:fill="E7F0F9"/>
          </w:tcPr>
          <w:p w:rsidR="009D20A6" w:rsidRDefault="006B070D">
            <w:pPr>
              <w:spacing w:after="0" w:line="240" w:lineRule="auto"/>
            </w:pPr>
            <w:r>
              <w:t>OSNOVNA ŠKOLA IVAN GORAN KOVAČIĆ</w:t>
            </w:r>
          </w:p>
        </w:tc>
      </w:tr>
      <w:tr w:rsidR="009D20A6">
        <w:tblPrEx>
          <w:tblCellMar>
            <w:top w:w="0" w:type="dxa"/>
            <w:bottom w:w="0" w:type="dxa"/>
          </w:tblCellMar>
        </w:tblPrEx>
        <w:trPr>
          <w:tblCellSpacing w:w="60" w:type="dxa"/>
        </w:trPr>
        <w:tc>
          <w:tcPr>
            <w:tcW w:w="1200" w:type="pct"/>
            <w:shd w:val="clear" w:color="auto" w:fill="E7F0F9"/>
          </w:tcPr>
          <w:p w:rsidR="009D20A6" w:rsidRDefault="006B070D">
            <w:pPr>
              <w:spacing w:after="0" w:line="240" w:lineRule="auto"/>
            </w:pPr>
            <w:r>
              <w:rPr>
                <w:b/>
              </w:rPr>
              <w:t>Razina</w:t>
            </w:r>
          </w:p>
        </w:tc>
        <w:tc>
          <w:tcPr>
            <w:tcW w:w="0" w:type="auto"/>
            <w:shd w:val="clear" w:color="auto" w:fill="E7F0F9"/>
          </w:tcPr>
          <w:p w:rsidR="009D20A6" w:rsidRDefault="006B070D">
            <w:pPr>
              <w:spacing w:after="0" w:line="240" w:lineRule="auto"/>
            </w:pPr>
            <w:r>
              <w:t>31</w:t>
            </w:r>
          </w:p>
        </w:tc>
      </w:tr>
    </w:tbl>
    <w:p w:rsidR="009D20A6" w:rsidRDefault="006B070D">
      <w:r>
        <w:br/>
      </w:r>
    </w:p>
    <w:p w:rsidR="009D20A6" w:rsidRDefault="006B070D">
      <w:pPr>
        <w:spacing w:line="240" w:lineRule="auto"/>
        <w:jc w:val="center"/>
      </w:pPr>
      <w:r>
        <w:rPr>
          <w:b/>
          <w:sz w:val="28"/>
        </w:rPr>
        <w:t>BILJEŠKE UZ FINANCIJSKE IZVJEŠTAJE</w:t>
      </w:r>
    </w:p>
    <w:p w:rsidR="009D20A6" w:rsidRDefault="006B070D">
      <w:pPr>
        <w:spacing w:line="240" w:lineRule="auto"/>
        <w:jc w:val="center"/>
      </w:pPr>
      <w:r>
        <w:rPr>
          <w:b/>
          <w:sz w:val="28"/>
        </w:rPr>
        <w:t>ZA RAZDOBLJE</w:t>
      </w:r>
    </w:p>
    <w:p w:rsidR="009D20A6" w:rsidRDefault="006B070D">
      <w:pPr>
        <w:spacing w:line="240" w:lineRule="auto"/>
        <w:jc w:val="center"/>
      </w:pPr>
      <w:r>
        <w:rPr>
          <w:b/>
          <w:sz w:val="28"/>
        </w:rPr>
        <w:t>I - XII 2025.</w:t>
      </w:r>
    </w:p>
    <w:p w:rsidR="009D20A6" w:rsidRDefault="009D20A6"/>
    <w:p w:rsidR="009D20A6" w:rsidRDefault="006B070D">
      <w:pPr>
        <w:keepNext/>
        <w:spacing w:line="240" w:lineRule="auto"/>
        <w:jc w:val="center"/>
      </w:pPr>
      <w:r>
        <w:rPr>
          <w:b/>
          <w:sz w:val="28"/>
        </w:rPr>
        <w:t>Izvještaj o prihodima i rashodima, primicima i izdacima</w:t>
      </w:r>
    </w:p>
    <w:p w:rsidR="009D20A6" w:rsidRDefault="006B070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6</w:t>
            </w:r>
          </w:p>
        </w:tc>
        <w:tc>
          <w:tcPr>
            <w:tcW w:w="3180" w:type="dxa"/>
            <w:tcMar>
              <w:top w:w="0" w:type="dxa"/>
              <w:bottom w:w="0" w:type="dxa"/>
            </w:tcMar>
            <w:vAlign w:val="center"/>
          </w:tcPr>
          <w:p w:rsidR="009D20A6" w:rsidRDefault="006B070D">
            <w:pPr>
              <w:keepNext/>
              <w:keepLines/>
              <w:spacing w:after="0" w:line="240" w:lineRule="auto"/>
            </w:pPr>
            <w:r>
              <w:rPr>
                <w:sz w:val="18"/>
              </w:rPr>
              <w:t>PRIHODI POSLOVANJA (šifre 61+62+63+64+65+66+67+68)</w:t>
            </w:r>
          </w:p>
        </w:tc>
        <w:tc>
          <w:tcPr>
            <w:tcW w:w="700" w:type="dxa"/>
            <w:tcMar>
              <w:top w:w="0" w:type="dxa"/>
              <w:bottom w:w="0" w:type="dxa"/>
            </w:tcMar>
            <w:vAlign w:val="center"/>
          </w:tcPr>
          <w:p w:rsidR="009D20A6" w:rsidRDefault="006B070D">
            <w:pPr>
              <w:keepNext/>
              <w:keepLines/>
              <w:spacing w:after="0" w:line="240" w:lineRule="auto"/>
            </w:pPr>
            <w:r>
              <w:rPr>
                <w:sz w:val="18"/>
              </w:rPr>
              <w:t>6</w:t>
            </w:r>
          </w:p>
        </w:tc>
        <w:tc>
          <w:tcPr>
            <w:tcW w:w="1860" w:type="dxa"/>
            <w:tcMar>
              <w:top w:w="0" w:type="dxa"/>
              <w:bottom w:w="0" w:type="dxa"/>
            </w:tcMar>
            <w:vAlign w:val="center"/>
          </w:tcPr>
          <w:p w:rsidR="009D20A6" w:rsidRDefault="006B070D">
            <w:pPr>
              <w:keepNext/>
              <w:keepLines/>
              <w:spacing w:after="0" w:line="240" w:lineRule="auto"/>
              <w:jc w:val="right"/>
            </w:pPr>
            <w:r>
              <w:rPr>
                <w:sz w:val="18"/>
              </w:rPr>
              <w:t>1.422.951,60</w:t>
            </w:r>
          </w:p>
        </w:tc>
        <w:tc>
          <w:tcPr>
            <w:tcW w:w="1860" w:type="dxa"/>
            <w:tcMar>
              <w:top w:w="0" w:type="dxa"/>
              <w:bottom w:w="0" w:type="dxa"/>
            </w:tcMar>
            <w:vAlign w:val="center"/>
          </w:tcPr>
          <w:p w:rsidR="009D20A6" w:rsidRDefault="006B070D">
            <w:pPr>
              <w:keepNext/>
              <w:keepLines/>
              <w:spacing w:after="0" w:line="240" w:lineRule="auto"/>
              <w:jc w:val="right"/>
            </w:pPr>
            <w:r>
              <w:rPr>
                <w:sz w:val="18"/>
              </w:rPr>
              <w:t>1.557.584,11</w:t>
            </w:r>
          </w:p>
        </w:tc>
        <w:tc>
          <w:tcPr>
            <w:tcW w:w="700" w:type="dxa"/>
            <w:tcMar>
              <w:top w:w="0" w:type="dxa"/>
              <w:bottom w:w="0" w:type="dxa"/>
            </w:tcMar>
            <w:vAlign w:val="center"/>
          </w:tcPr>
          <w:p w:rsidR="009D20A6" w:rsidRDefault="006B070D">
            <w:pPr>
              <w:keepNext/>
              <w:keepLines/>
              <w:spacing w:after="0" w:line="240" w:lineRule="auto"/>
              <w:jc w:val="right"/>
            </w:pPr>
            <w:r>
              <w:rPr>
                <w:sz w:val="18"/>
              </w:rPr>
              <w:t>109,5</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3</w:t>
            </w:r>
          </w:p>
        </w:tc>
        <w:tc>
          <w:tcPr>
            <w:tcW w:w="3180" w:type="dxa"/>
            <w:tcMar>
              <w:top w:w="0" w:type="dxa"/>
              <w:bottom w:w="0" w:type="dxa"/>
            </w:tcMar>
            <w:vAlign w:val="center"/>
          </w:tcPr>
          <w:p w:rsidR="009D20A6" w:rsidRDefault="006B070D">
            <w:pPr>
              <w:keepNext/>
              <w:keepLines/>
              <w:spacing w:after="0" w:line="240" w:lineRule="auto"/>
            </w:pPr>
            <w:r>
              <w:rPr>
                <w:sz w:val="18"/>
              </w:rPr>
              <w:t>RASHODI POSLOVANJA (šifre 31+32+34+35+36+37+38)</w:t>
            </w:r>
          </w:p>
        </w:tc>
        <w:tc>
          <w:tcPr>
            <w:tcW w:w="700" w:type="dxa"/>
            <w:tcMar>
              <w:top w:w="0" w:type="dxa"/>
              <w:bottom w:w="0" w:type="dxa"/>
            </w:tcMar>
            <w:vAlign w:val="center"/>
          </w:tcPr>
          <w:p w:rsidR="009D20A6" w:rsidRDefault="006B070D">
            <w:pPr>
              <w:keepNext/>
              <w:keepLines/>
              <w:spacing w:after="0" w:line="240" w:lineRule="auto"/>
            </w:pPr>
            <w:r>
              <w:rPr>
                <w:sz w:val="18"/>
              </w:rPr>
              <w:t>3</w:t>
            </w:r>
          </w:p>
        </w:tc>
        <w:tc>
          <w:tcPr>
            <w:tcW w:w="1860" w:type="dxa"/>
            <w:tcMar>
              <w:top w:w="0" w:type="dxa"/>
              <w:bottom w:w="0" w:type="dxa"/>
            </w:tcMar>
            <w:vAlign w:val="center"/>
          </w:tcPr>
          <w:p w:rsidR="009D20A6" w:rsidRDefault="006B070D">
            <w:pPr>
              <w:keepNext/>
              <w:keepLines/>
              <w:spacing w:after="0" w:line="240" w:lineRule="auto"/>
              <w:jc w:val="right"/>
            </w:pPr>
            <w:r>
              <w:rPr>
                <w:sz w:val="18"/>
              </w:rPr>
              <w:t>1.380.321,07</w:t>
            </w:r>
          </w:p>
        </w:tc>
        <w:tc>
          <w:tcPr>
            <w:tcW w:w="1860" w:type="dxa"/>
            <w:tcMar>
              <w:top w:w="0" w:type="dxa"/>
              <w:bottom w:w="0" w:type="dxa"/>
            </w:tcMar>
            <w:vAlign w:val="center"/>
          </w:tcPr>
          <w:p w:rsidR="009D20A6" w:rsidRDefault="006B070D">
            <w:pPr>
              <w:keepNext/>
              <w:keepLines/>
              <w:spacing w:after="0" w:line="240" w:lineRule="auto"/>
              <w:jc w:val="right"/>
            </w:pPr>
            <w:r>
              <w:rPr>
                <w:sz w:val="18"/>
              </w:rPr>
              <w:t>1.686.304,82</w:t>
            </w:r>
          </w:p>
        </w:tc>
        <w:tc>
          <w:tcPr>
            <w:tcW w:w="700" w:type="dxa"/>
            <w:tcMar>
              <w:top w:w="0" w:type="dxa"/>
              <w:bottom w:w="0" w:type="dxa"/>
            </w:tcMar>
            <w:vAlign w:val="center"/>
          </w:tcPr>
          <w:p w:rsidR="009D20A6" w:rsidRDefault="006B070D">
            <w:pPr>
              <w:keepNext/>
              <w:keepLines/>
              <w:spacing w:after="0" w:line="240" w:lineRule="auto"/>
              <w:jc w:val="right"/>
            </w:pPr>
            <w:r>
              <w:rPr>
                <w:sz w:val="18"/>
              </w:rPr>
              <w:t>122,2</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9D20A6">
            <w:pPr>
              <w:keepNext/>
              <w:keepLines/>
              <w:spacing w:after="0" w:line="240" w:lineRule="auto"/>
            </w:pPr>
          </w:p>
        </w:tc>
        <w:tc>
          <w:tcPr>
            <w:tcW w:w="3180" w:type="dxa"/>
            <w:tcMar>
              <w:top w:w="0" w:type="dxa"/>
              <w:bottom w:w="0" w:type="dxa"/>
            </w:tcMar>
            <w:vAlign w:val="center"/>
          </w:tcPr>
          <w:p w:rsidR="009D20A6" w:rsidRDefault="006B070D">
            <w:pPr>
              <w:keepNext/>
              <w:keepLines/>
              <w:spacing w:after="0" w:line="240" w:lineRule="auto"/>
            </w:pPr>
            <w:r>
              <w:rPr>
                <w:b/>
                <w:sz w:val="18"/>
              </w:rPr>
              <w:t>MANJAK PRIHODA POSLOVANJA (šifre Z005-6)</w:t>
            </w:r>
          </w:p>
        </w:tc>
        <w:tc>
          <w:tcPr>
            <w:tcW w:w="700" w:type="dxa"/>
            <w:tcMar>
              <w:top w:w="0" w:type="dxa"/>
              <w:bottom w:w="0" w:type="dxa"/>
            </w:tcMar>
            <w:vAlign w:val="center"/>
          </w:tcPr>
          <w:p w:rsidR="009D20A6" w:rsidRDefault="006B070D">
            <w:pPr>
              <w:keepNext/>
              <w:keepLines/>
              <w:spacing w:after="0" w:line="240" w:lineRule="auto"/>
            </w:pPr>
            <w:r>
              <w:rPr>
                <w:b/>
                <w:sz w:val="18"/>
              </w:rPr>
              <w:t>Y001</w:t>
            </w:r>
          </w:p>
        </w:tc>
        <w:tc>
          <w:tcPr>
            <w:tcW w:w="1860" w:type="dxa"/>
            <w:tcMar>
              <w:top w:w="0" w:type="dxa"/>
              <w:bottom w:w="0" w:type="dxa"/>
            </w:tcMar>
            <w:vAlign w:val="center"/>
          </w:tcPr>
          <w:p w:rsidR="009D20A6" w:rsidRDefault="006B070D">
            <w:pPr>
              <w:keepNext/>
              <w:keepLines/>
              <w:spacing w:after="0" w:line="240" w:lineRule="auto"/>
              <w:jc w:val="right"/>
            </w:pPr>
            <w:r>
              <w:rPr>
                <w:b/>
                <w:sz w:val="18"/>
              </w:rPr>
              <w:t>0,00</w:t>
            </w:r>
          </w:p>
        </w:tc>
        <w:tc>
          <w:tcPr>
            <w:tcW w:w="1860" w:type="dxa"/>
            <w:tcMar>
              <w:top w:w="0" w:type="dxa"/>
              <w:bottom w:w="0" w:type="dxa"/>
            </w:tcMar>
            <w:vAlign w:val="center"/>
          </w:tcPr>
          <w:p w:rsidR="009D20A6" w:rsidRDefault="006B070D">
            <w:pPr>
              <w:keepNext/>
              <w:keepLines/>
              <w:spacing w:after="0" w:line="240" w:lineRule="auto"/>
              <w:jc w:val="right"/>
            </w:pPr>
            <w:r>
              <w:rPr>
                <w:b/>
                <w:sz w:val="18"/>
              </w:rPr>
              <w:t>128.720,71</w:t>
            </w:r>
          </w:p>
        </w:tc>
        <w:tc>
          <w:tcPr>
            <w:tcW w:w="700" w:type="dxa"/>
            <w:tcMar>
              <w:top w:w="0" w:type="dxa"/>
              <w:bottom w:w="0" w:type="dxa"/>
            </w:tcMar>
            <w:vAlign w:val="center"/>
          </w:tcPr>
          <w:p w:rsidR="009D20A6" w:rsidRDefault="006B070D">
            <w:pPr>
              <w:keepNext/>
              <w:keepLines/>
              <w:spacing w:after="0" w:line="240" w:lineRule="auto"/>
              <w:jc w:val="right"/>
            </w:pPr>
            <w:r>
              <w:rPr>
                <w:b/>
                <w:sz w:val="18"/>
              </w:rPr>
              <w:t>-</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7</w:t>
            </w:r>
          </w:p>
        </w:tc>
        <w:tc>
          <w:tcPr>
            <w:tcW w:w="3180" w:type="dxa"/>
            <w:tcMar>
              <w:top w:w="0" w:type="dxa"/>
              <w:bottom w:w="0" w:type="dxa"/>
            </w:tcMar>
            <w:vAlign w:val="center"/>
          </w:tcPr>
          <w:p w:rsidR="009D20A6" w:rsidRDefault="006B070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9D20A6" w:rsidRDefault="006B070D">
            <w:pPr>
              <w:keepNext/>
              <w:keepLines/>
              <w:spacing w:after="0" w:line="240" w:lineRule="auto"/>
            </w:pPr>
            <w:r>
              <w:rPr>
                <w:sz w:val="18"/>
              </w:rPr>
              <w:t>7</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700" w:type="dxa"/>
            <w:tcMar>
              <w:top w:w="0" w:type="dxa"/>
              <w:bottom w:w="0" w:type="dxa"/>
            </w:tcMar>
            <w:vAlign w:val="center"/>
          </w:tcPr>
          <w:p w:rsidR="009D20A6" w:rsidRDefault="006B070D">
            <w:pPr>
              <w:keepNext/>
              <w:keepLines/>
              <w:spacing w:after="0" w:line="240" w:lineRule="auto"/>
              <w:jc w:val="right"/>
            </w:pPr>
            <w:r>
              <w:rPr>
                <w:sz w:val="18"/>
              </w:rPr>
              <w:t>-</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4</w:t>
            </w:r>
          </w:p>
        </w:tc>
        <w:tc>
          <w:tcPr>
            <w:tcW w:w="3180" w:type="dxa"/>
            <w:tcMar>
              <w:top w:w="0" w:type="dxa"/>
              <w:bottom w:w="0" w:type="dxa"/>
            </w:tcMar>
            <w:vAlign w:val="center"/>
          </w:tcPr>
          <w:p w:rsidR="009D20A6" w:rsidRDefault="006B070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9D20A6" w:rsidRDefault="006B070D">
            <w:pPr>
              <w:keepNext/>
              <w:keepLines/>
              <w:spacing w:after="0" w:line="240" w:lineRule="auto"/>
            </w:pPr>
            <w:r>
              <w:rPr>
                <w:sz w:val="18"/>
              </w:rPr>
              <w:t>4</w:t>
            </w:r>
          </w:p>
        </w:tc>
        <w:tc>
          <w:tcPr>
            <w:tcW w:w="1860" w:type="dxa"/>
            <w:tcMar>
              <w:top w:w="0" w:type="dxa"/>
              <w:bottom w:w="0" w:type="dxa"/>
            </w:tcMar>
            <w:vAlign w:val="center"/>
          </w:tcPr>
          <w:p w:rsidR="009D20A6" w:rsidRDefault="006B070D">
            <w:pPr>
              <w:keepNext/>
              <w:keepLines/>
              <w:spacing w:after="0" w:line="240" w:lineRule="auto"/>
              <w:jc w:val="right"/>
            </w:pPr>
            <w:r>
              <w:rPr>
                <w:sz w:val="18"/>
              </w:rPr>
              <w:t>23.793,75</w:t>
            </w:r>
          </w:p>
        </w:tc>
        <w:tc>
          <w:tcPr>
            <w:tcW w:w="1860" w:type="dxa"/>
            <w:tcMar>
              <w:top w:w="0" w:type="dxa"/>
              <w:bottom w:w="0" w:type="dxa"/>
            </w:tcMar>
            <w:vAlign w:val="center"/>
          </w:tcPr>
          <w:p w:rsidR="009D20A6" w:rsidRDefault="006B070D">
            <w:pPr>
              <w:keepNext/>
              <w:keepLines/>
              <w:spacing w:after="0" w:line="240" w:lineRule="auto"/>
              <w:jc w:val="right"/>
            </w:pPr>
            <w:r>
              <w:rPr>
                <w:sz w:val="18"/>
              </w:rPr>
              <w:t>12.822,72</w:t>
            </w:r>
          </w:p>
        </w:tc>
        <w:tc>
          <w:tcPr>
            <w:tcW w:w="700" w:type="dxa"/>
            <w:tcMar>
              <w:top w:w="0" w:type="dxa"/>
              <w:bottom w:w="0" w:type="dxa"/>
            </w:tcMar>
            <w:vAlign w:val="center"/>
          </w:tcPr>
          <w:p w:rsidR="009D20A6" w:rsidRDefault="006B070D">
            <w:pPr>
              <w:keepNext/>
              <w:keepLines/>
              <w:spacing w:after="0" w:line="240" w:lineRule="auto"/>
              <w:jc w:val="right"/>
            </w:pPr>
            <w:r>
              <w:rPr>
                <w:sz w:val="18"/>
              </w:rPr>
              <w:t>53,9</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9D20A6">
            <w:pPr>
              <w:keepNext/>
              <w:keepLines/>
              <w:spacing w:after="0" w:line="240" w:lineRule="auto"/>
            </w:pPr>
          </w:p>
        </w:tc>
        <w:tc>
          <w:tcPr>
            <w:tcW w:w="3180" w:type="dxa"/>
            <w:tcMar>
              <w:top w:w="0" w:type="dxa"/>
              <w:bottom w:w="0" w:type="dxa"/>
            </w:tcMar>
            <w:vAlign w:val="center"/>
          </w:tcPr>
          <w:p w:rsidR="009D20A6" w:rsidRDefault="006B070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9D20A6" w:rsidRDefault="006B070D">
            <w:pPr>
              <w:keepNext/>
              <w:keepLines/>
              <w:spacing w:after="0" w:line="240" w:lineRule="auto"/>
            </w:pPr>
            <w:r>
              <w:rPr>
                <w:b/>
                <w:sz w:val="18"/>
              </w:rPr>
              <w:t>Y002</w:t>
            </w:r>
          </w:p>
        </w:tc>
        <w:tc>
          <w:tcPr>
            <w:tcW w:w="1860" w:type="dxa"/>
            <w:tcMar>
              <w:top w:w="0" w:type="dxa"/>
              <w:bottom w:w="0" w:type="dxa"/>
            </w:tcMar>
            <w:vAlign w:val="center"/>
          </w:tcPr>
          <w:p w:rsidR="009D20A6" w:rsidRDefault="006B070D">
            <w:pPr>
              <w:keepNext/>
              <w:keepLines/>
              <w:spacing w:after="0" w:line="240" w:lineRule="auto"/>
              <w:jc w:val="right"/>
            </w:pPr>
            <w:r>
              <w:rPr>
                <w:b/>
                <w:sz w:val="18"/>
              </w:rPr>
              <w:t>23.793,75</w:t>
            </w:r>
          </w:p>
        </w:tc>
        <w:tc>
          <w:tcPr>
            <w:tcW w:w="1860" w:type="dxa"/>
            <w:tcMar>
              <w:top w:w="0" w:type="dxa"/>
              <w:bottom w:w="0" w:type="dxa"/>
            </w:tcMar>
            <w:vAlign w:val="center"/>
          </w:tcPr>
          <w:p w:rsidR="009D20A6" w:rsidRDefault="006B070D">
            <w:pPr>
              <w:keepNext/>
              <w:keepLines/>
              <w:spacing w:after="0" w:line="240" w:lineRule="auto"/>
              <w:jc w:val="right"/>
            </w:pPr>
            <w:r>
              <w:rPr>
                <w:b/>
                <w:sz w:val="18"/>
              </w:rPr>
              <w:t>12.822,72</w:t>
            </w:r>
          </w:p>
        </w:tc>
        <w:tc>
          <w:tcPr>
            <w:tcW w:w="700" w:type="dxa"/>
            <w:tcMar>
              <w:top w:w="0" w:type="dxa"/>
              <w:bottom w:w="0" w:type="dxa"/>
            </w:tcMar>
            <w:vAlign w:val="center"/>
          </w:tcPr>
          <w:p w:rsidR="009D20A6" w:rsidRDefault="006B070D">
            <w:pPr>
              <w:keepNext/>
              <w:keepLines/>
              <w:spacing w:after="0" w:line="240" w:lineRule="auto"/>
              <w:jc w:val="right"/>
            </w:pPr>
            <w:r>
              <w:rPr>
                <w:b/>
                <w:sz w:val="18"/>
              </w:rPr>
              <w:t>53,9</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8</w:t>
            </w:r>
          </w:p>
        </w:tc>
        <w:tc>
          <w:tcPr>
            <w:tcW w:w="3180" w:type="dxa"/>
            <w:tcMar>
              <w:top w:w="0" w:type="dxa"/>
              <w:bottom w:w="0" w:type="dxa"/>
            </w:tcMar>
            <w:vAlign w:val="center"/>
          </w:tcPr>
          <w:p w:rsidR="009D20A6" w:rsidRDefault="006B070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9D20A6" w:rsidRDefault="006B070D">
            <w:pPr>
              <w:keepNext/>
              <w:keepLines/>
              <w:spacing w:after="0" w:line="240" w:lineRule="auto"/>
            </w:pPr>
            <w:r>
              <w:rPr>
                <w:sz w:val="18"/>
              </w:rPr>
              <w:t>8</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700" w:type="dxa"/>
            <w:tcMar>
              <w:top w:w="0" w:type="dxa"/>
              <w:bottom w:w="0" w:type="dxa"/>
            </w:tcMar>
            <w:vAlign w:val="center"/>
          </w:tcPr>
          <w:p w:rsidR="009D20A6" w:rsidRDefault="006B070D">
            <w:pPr>
              <w:keepNext/>
              <w:keepLines/>
              <w:spacing w:after="0" w:line="240" w:lineRule="auto"/>
              <w:jc w:val="right"/>
            </w:pPr>
            <w:r>
              <w:rPr>
                <w:sz w:val="18"/>
              </w:rPr>
              <w:t>-</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5</w:t>
            </w:r>
          </w:p>
        </w:tc>
        <w:tc>
          <w:tcPr>
            <w:tcW w:w="3180" w:type="dxa"/>
            <w:tcMar>
              <w:top w:w="0" w:type="dxa"/>
              <w:bottom w:w="0" w:type="dxa"/>
            </w:tcMar>
            <w:vAlign w:val="center"/>
          </w:tcPr>
          <w:p w:rsidR="009D20A6" w:rsidRDefault="006B070D">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9D20A6" w:rsidRDefault="006B070D">
            <w:pPr>
              <w:keepNext/>
              <w:keepLines/>
              <w:spacing w:after="0" w:line="240" w:lineRule="auto"/>
            </w:pPr>
            <w:r>
              <w:rPr>
                <w:sz w:val="18"/>
              </w:rPr>
              <w:t>5</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700" w:type="dxa"/>
            <w:tcMar>
              <w:top w:w="0" w:type="dxa"/>
              <w:bottom w:w="0" w:type="dxa"/>
            </w:tcMar>
            <w:vAlign w:val="center"/>
          </w:tcPr>
          <w:p w:rsidR="009D20A6" w:rsidRDefault="006B070D">
            <w:pPr>
              <w:keepNext/>
              <w:keepLines/>
              <w:spacing w:after="0" w:line="240" w:lineRule="auto"/>
              <w:jc w:val="right"/>
            </w:pPr>
            <w:r>
              <w:rPr>
                <w:sz w:val="18"/>
              </w:rPr>
              <w:t>-</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9D20A6">
            <w:pPr>
              <w:keepNext/>
              <w:keepLines/>
              <w:spacing w:after="0" w:line="240" w:lineRule="auto"/>
            </w:pPr>
          </w:p>
        </w:tc>
        <w:tc>
          <w:tcPr>
            <w:tcW w:w="3180" w:type="dxa"/>
            <w:tcMar>
              <w:top w:w="0" w:type="dxa"/>
              <w:bottom w:w="0" w:type="dxa"/>
            </w:tcMar>
            <w:vAlign w:val="center"/>
          </w:tcPr>
          <w:p w:rsidR="009D20A6" w:rsidRDefault="006B070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9D20A6" w:rsidRDefault="006B070D">
            <w:pPr>
              <w:keepNext/>
              <w:keepLines/>
              <w:spacing w:after="0" w:line="240" w:lineRule="auto"/>
            </w:pPr>
            <w:r>
              <w:rPr>
                <w:b/>
                <w:sz w:val="18"/>
              </w:rPr>
              <w:t>X003, Y003</w:t>
            </w:r>
          </w:p>
        </w:tc>
        <w:tc>
          <w:tcPr>
            <w:tcW w:w="1860" w:type="dxa"/>
            <w:tcMar>
              <w:top w:w="0" w:type="dxa"/>
              <w:bottom w:w="0" w:type="dxa"/>
            </w:tcMar>
            <w:vAlign w:val="center"/>
          </w:tcPr>
          <w:p w:rsidR="009D20A6" w:rsidRDefault="006B070D">
            <w:pPr>
              <w:keepNext/>
              <w:keepLines/>
              <w:spacing w:after="0" w:line="240" w:lineRule="auto"/>
              <w:jc w:val="right"/>
            </w:pPr>
            <w:r>
              <w:rPr>
                <w:b/>
                <w:sz w:val="18"/>
              </w:rPr>
              <w:t>0,00</w:t>
            </w:r>
          </w:p>
        </w:tc>
        <w:tc>
          <w:tcPr>
            <w:tcW w:w="1860" w:type="dxa"/>
            <w:tcMar>
              <w:top w:w="0" w:type="dxa"/>
              <w:bottom w:w="0" w:type="dxa"/>
            </w:tcMar>
            <w:vAlign w:val="center"/>
          </w:tcPr>
          <w:p w:rsidR="009D20A6" w:rsidRDefault="006B070D">
            <w:pPr>
              <w:keepNext/>
              <w:keepLines/>
              <w:spacing w:after="0" w:line="240" w:lineRule="auto"/>
              <w:jc w:val="right"/>
            </w:pPr>
            <w:r>
              <w:rPr>
                <w:b/>
                <w:sz w:val="18"/>
              </w:rPr>
              <w:t>0,00</w:t>
            </w:r>
          </w:p>
        </w:tc>
        <w:tc>
          <w:tcPr>
            <w:tcW w:w="700" w:type="dxa"/>
            <w:tcMar>
              <w:top w:w="0" w:type="dxa"/>
              <w:bottom w:w="0" w:type="dxa"/>
            </w:tcMar>
            <w:vAlign w:val="center"/>
          </w:tcPr>
          <w:p w:rsidR="009D20A6" w:rsidRDefault="006B070D">
            <w:pPr>
              <w:keepNext/>
              <w:keepLines/>
              <w:spacing w:after="0" w:line="240" w:lineRule="auto"/>
              <w:jc w:val="right"/>
            </w:pPr>
            <w:r>
              <w:rPr>
                <w:b/>
                <w:sz w:val="18"/>
              </w:rPr>
              <w:t>-</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9D20A6">
            <w:pPr>
              <w:keepNext/>
              <w:keepLines/>
              <w:spacing w:after="0" w:line="240" w:lineRule="auto"/>
            </w:pPr>
          </w:p>
        </w:tc>
        <w:tc>
          <w:tcPr>
            <w:tcW w:w="3180" w:type="dxa"/>
            <w:tcMar>
              <w:top w:w="0" w:type="dxa"/>
              <w:bottom w:w="0" w:type="dxa"/>
            </w:tcMar>
            <w:vAlign w:val="center"/>
          </w:tcPr>
          <w:p w:rsidR="009D20A6" w:rsidRDefault="006B070D">
            <w:pPr>
              <w:keepNext/>
              <w:keepLines/>
              <w:spacing w:after="0" w:line="240" w:lineRule="auto"/>
            </w:pPr>
            <w:r>
              <w:rPr>
                <w:b/>
                <w:sz w:val="18"/>
              </w:rPr>
              <w:t>MANJAK PRIHODA I PRIMITAKA (šifre Y345-X678)</w:t>
            </w:r>
          </w:p>
        </w:tc>
        <w:tc>
          <w:tcPr>
            <w:tcW w:w="700" w:type="dxa"/>
            <w:tcMar>
              <w:top w:w="0" w:type="dxa"/>
              <w:bottom w:w="0" w:type="dxa"/>
            </w:tcMar>
            <w:vAlign w:val="center"/>
          </w:tcPr>
          <w:p w:rsidR="009D20A6" w:rsidRDefault="006B070D">
            <w:pPr>
              <w:keepNext/>
              <w:keepLines/>
              <w:spacing w:after="0" w:line="240" w:lineRule="auto"/>
            </w:pPr>
            <w:r>
              <w:rPr>
                <w:b/>
                <w:sz w:val="18"/>
              </w:rPr>
              <w:t>Y005</w:t>
            </w:r>
          </w:p>
        </w:tc>
        <w:tc>
          <w:tcPr>
            <w:tcW w:w="1860" w:type="dxa"/>
            <w:tcMar>
              <w:top w:w="0" w:type="dxa"/>
              <w:bottom w:w="0" w:type="dxa"/>
            </w:tcMar>
            <w:vAlign w:val="center"/>
          </w:tcPr>
          <w:p w:rsidR="009D20A6" w:rsidRDefault="006B070D">
            <w:pPr>
              <w:keepNext/>
              <w:keepLines/>
              <w:spacing w:after="0" w:line="240" w:lineRule="auto"/>
              <w:jc w:val="right"/>
            </w:pPr>
            <w:r>
              <w:rPr>
                <w:b/>
                <w:sz w:val="18"/>
              </w:rPr>
              <w:t>0,00</w:t>
            </w:r>
          </w:p>
        </w:tc>
        <w:tc>
          <w:tcPr>
            <w:tcW w:w="1860" w:type="dxa"/>
            <w:tcMar>
              <w:top w:w="0" w:type="dxa"/>
              <w:bottom w:w="0" w:type="dxa"/>
            </w:tcMar>
            <w:vAlign w:val="center"/>
          </w:tcPr>
          <w:p w:rsidR="009D20A6" w:rsidRDefault="006B070D">
            <w:pPr>
              <w:keepNext/>
              <w:keepLines/>
              <w:spacing w:after="0" w:line="240" w:lineRule="auto"/>
              <w:jc w:val="right"/>
            </w:pPr>
            <w:r>
              <w:rPr>
                <w:b/>
                <w:sz w:val="18"/>
              </w:rPr>
              <w:t>141.543,43</w:t>
            </w:r>
          </w:p>
        </w:tc>
        <w:tc>
          <w:tcPr>
            <w:tcW w:w="700" w:type="dxa"/>
            <w:tcMar>
              <w:top w:w="0" w:type="dxa"/>
              <w:bottom w:w="0" w:type="dxa"/>
            </w:tcMar>
            <w:vAlign w:val="center"/>
          </w:tcPr>
          <w:p w:rsidR="009D20A6" w:rsidRDefault="006B070D">
            <w:pPr>
              <w:keepNext/>
              <w:keepLines/>
              <w:spacing w:after="0" w:line="240" w:lineRule="auto"/>
              <w:jc w:val="right"/>
            </w:pPr>
            <w:r>
              <w:rPr>
                <w:b/>
                <w:sz w:val="18"/>
              </w:rPr>
              <w:t>-</w:t>
            </w:r>
          </w:p>
        </w:tc>
      </w:tr>
    </w:tbl>
    <w:p w:rsidR="009D20A6" w:rsidRDefault="009D20A6">
      <w:pPr>
        <w:spacing w:after="0"/>
      </w:pPr>
    </w:p>
    <w:p w:rsidR="009D20A6" w:rsidRDefault="006B070D">
      <w:r>
        <w:t>Na temelju iskazanih podataka u obrascu PR-RAS za navedeno razdoblje vidljivo je da su UKUPNI PRIHODI 1.557.584,11 eura, odnosno 109,5 % u odnosu na izvještajno razdoblje prethodne godine. UKUPNI RASHODI u iznosu od 1.686.304,82 eura odnosno 122,2 % u odno</w:t>
      </w:r>
      <w:r>
        <w:t>su na isto razdoblje prethodne godine, dakle ostvaren je MANJAK PRIHODA POSLOVANJA u iznosu od 128.720,71 eura koji s manjkom prihoda od nefinancijske imovine u iznosu od 12.822,72 eura čini UKUPAN MANJAK PRIHODA I PRIMITAKA u iznosu od 141.543,43 eura.</w:t>
      </w:r>
    </w:p>
    <w:p w:rsidR="009D20A6" w:rsidRDefault="006B070D">
      <w:r>
        <w:lastRenderedPageBreak/>
        <w:t>Ma</w:t>
      </w:r>
      <w:r>
        <w:t>njak prihoda za razdoblje 1.1.2025.-31.12.2025. nastao je zbog ukidanja kontinuiranih rashoda i knjiženja rashoda na troškove plaća (škole, vrtića te pomoćnika u nastavi) te obračuna Ugovora o djelu knjiženog s 31.12.2025. Prihodi će biti knjiženi prilikom</w:t>
      </w:r>
      <w:r>
        <w:t xml:space="preserve"> isplate plaće u siječnju 2026 te isplate Ugovora o djelu također u siječnju 2026. Manjak prihoda imamo i zbog kašnjenja prihoda od strane MZOM-a za prehranu učenika. Manjak prihoda od nefinancijske imovine u iznosu od 12.822,72 eura odnosi se na kupovinu </w:t>
      </w:r>
      <w:r>
        <w:t>računala i računalne opreme, uredskog namještaja, medicinske opreme, sportske opreme i bicikle iz projekta CDŠ, te na nabavljene knjige i udžbenike.</w:t>
      </w:r>
    </w:p>
    <w:p w:rsidR="009D20A6" w:rsidRDefault="006B070D">
      <w:r>
        <w:br/>
      </w:r>
    </w:p>
    <w:p w:rsidR="009D20A6" w:rsidRDefault="006B070D">
      <w:pPr>
        <w:keepNext/>
        <w:spacing w:line="240" w:lineRule="auto"/>
        <w:jc w:val="center"/>
      </w:pPr>
      <w:r>
        <w:rPr>
          <w:b/>
          <w:sz w:val="28"/>
        </w:rPr>
        <w:t>Bilanca</w:t>
      </w:r>
    </w:p>
    <w:p w:rsidR="009D20A6" w:rsidRDefault="006B070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r>
              <w:rPr>
                <w:b/>
                <w:sz w:val="18"/>
              </w:rPr>
              <w:t>%)</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0</w:t>
            </w:r>
          </w:p>
        </w:tc>
        <w:tc>
          <w:tcPr>
            <w:tcW w:w="3180" w:type="dxa"/>
            <w:tcMar>
              <w:top w:w="0" w:type="dxa"/>
              <w:bottom w:w="0" w:type="dxa"/>
            </w:tcMar>
            <w:vAlign w:val="center"/>
          </w:tcPr>
          <w:p w:rsidR="009D20A6" w:rsidRDefault="006B070D">
            <w:pPr>
              <w:keepNext/>
              <w:keepLines/>
              <w:spacing w:after="0" w:line="240" w:lineRule="auto"/>
            </w:pPr>
            <w:r>
              <w:rPr>
                <w:sz w:val="18"/>
              </w:rPr>
              <w:t>Nefinancijska imovina (šifre 01+02+03+04+05+06)</w:t>
            </w:r>
          </w:p>
        </w:tc>
        <w:tc>
          <w:tcPr>
            <w:tcW w:w="700" w:type="dxa"/>
            <w:tcMar>
              <w:top w:w="0" w:type="dxa"/>
              <w:bottom w:w="0" w:type="dxa"/>
            </w:tcMar>
            <w:vAlign w:val="center"/>
          </w:tcPr>
          <w:p w:rsidR="009D20A6" w:rsidRDefault="006B070D">
            <w:pPr>
              <w:keepNext/>
              <w:keepLines/>
              <w:spacing w:after="0" w:line="240" w:lineRule="auto"/>
            </w:pPr>
            <w:r>
              <w:rPr>
                <w:sz w:val="18"/>
              </w:rPr>
              <w:t>B002</w:t>
            </w:r>
          </w:p>
        </w:tc>
        <w:tc>
          <w:tcPr>
            <w:tcW w:w="1860" w:type="dxa"/>
            <w:tcMar>
              <w:top w:w="0" w:type="dxa"/>
              <w:bottom w:w="0" w:type="dxa"/>
            </w:tcMar>
            <w:vAlign w:val="center"/>
          </w:tcPr>
          <w:p w:rsidR="009D20A6" w:rsidRDefault="006B070D">
            <w:pPr>
              <w:keepNext/>
              <w:keepLines/>
              <w:spacing w:after="0" w:line="240" w:lineRule="auto"/>
              <w:jc w:val="right"/>
            </w:pPr>
            <w:r>
              <w:rPr>
                <w:sz w:val="18"/>
              </w:rPr>
              <w:t>435.007,79</w:t>
            </w:r>
          </w:p>
        </w:tc>
        <w:tc>
          <w:tcPr>
            <w:tcW w:w="1860" w:type="dxa"/>
            <w:tcMar>
              <w:top w:w="0" w:type="dxa"/>
              <w:bottom w:w="0" w:type="dxa"/>
            </w:tcMar>
            <w:vAlign w:val="center"/>
          </w:tcPr>
          <w:p w:rsidR="009D20A6" w:rsidRDefault="006B070D">
            <w:pPr>
              <w:keepNext/>
              <w:keepLines/>
              <w:spacing w:after="0" w:line="240" w:lineRule="auto"/>
              <w:jc w:val="right"/>
            </w:pPr>
            <w:r>
              <w:rPr>
                <w:sz w:val="18"/>
              </w:rPr>
              <w:t>387.569,80</w:t>
            </w:r>
          </w:p>
        </w:tc>
        <w:tc>
          <w:tcPr>
            <w:tcW w:w="700" w:type="dxa"/>
            <w:tcMar>
              <w:top w:w="0" w:type="dxa"/>
              <w:bottom w:w="0" w:type="dxa"/>
            </w:tcMar>
            <w:vAlign w:val="center"/>
          </w:tcPr>
          <w:p w:rsidR="009D20A6" w:rsidRDefault="006B070D">
            <w:pPr>
              <w:keepNext/>
              <w:keepLines/>
              <w:spacing w:after="0" w:line="240" w:lineRule="auto"/>
              <w:jc w:val="right"/>
            </w:pPr>
            <w:r>
              <w:rPr>
                <w:sz w:val="18"/>
              </w:rPr>
              <w:t>89,1</w:t>
            </w:r>
          </w:p>
        </w:tc>
      </w:tr>
    </w:tbl>
    <w:p w:rsidR="009D20A6" w:rsidRDefault="009D20A6">
      <w:pPr>
        <w:spacing w:after="0"/>
      </w:pPr>
    </w:p>
    <w:p w:rsidR="009D20A6" w:rsidRDefault="006B070D">
      <w:r>
        <w:t>Ukupna vrijednost nefinancijske imovine s danom 31.12.2025. iznosi 387.569,80 eura (indeks 89,1) u odnosu na stanje 1.1.2025.</w:t>
      </w:r>
    </w:p>
    <w:p w:rsidR="009D20A6" w:rsidRDefault="006B070D">
      <w:r>
        <w:t>U 2025. godini kupili smo računala i računalnu opremu, uredski namještaj, medicinsku opremu, sportsku opremu i bicikle iz projekta CDŠ,  knjige i udžbenike u iznosu od 12.822,72 eura.</w:t>
      </w:r>
    </w:p>
    <w:p w:rsidR="009D20A6" w:rsidRDefault="006B070D">
      <w:r>
        <w:t>U izvještajnom razdoblju nismo imali donacija niti prijenosa imovine. </w:t>
      </w:r>
    </w:p>
    <w:p w:rsidR="009D20A6" w:rsidRDefault="006B070D">
      <w:r>
        <w:t>A</w:t>
      </w:r>
      <w:r>
        <w:t>mortizirana vrijednost imovine s 31.12.2025. iznosi 70.294,27 eura.</w:t>
      </w:r>
    </w:p>
    <w:p w:rsidR="009D20A6" w:rsidRDefault="009D20A6"/>
    <w:p w:rsidR="009D20A6" w:rsidRDefault="006B070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1</w:t>
            </w:r>
          </w:p>
        </w:tc>
        <w:tc>
          <w:tcPr>
            <w:tcW w:w="3180" w:type="dxa"/>
            <w:tcMar>
              <w:top w:w="0" w:type="dxa"/>
              <w:bottom w:w="0" w:type="dxa"/>
            </w:tcMar>
            <w:vAlign w:val="center"/>
          </w:tcPr>
          <w:p w:rsidR="009D20A6" w:rsidRDefault="006B070D">
            <w:pPr>
              <w:keepNext/>
              <w:keepLines/>
              <w:spacing w:after="0" w:line="240" w:lineRule="auto"/>
            </w:pPr>
            <w:r>
              <w:rPr>
                <w:sz w:val="18"/>
              </w:rPr>
              <w:t>Financijska imovina (šifre 11+12+13+14+15+16+17+19)</w:t>
            </w:r>
          </w:p>
        </w:tc>
        <w:tc>
          <w:tcPr>
            <w:tcW w:w="700" w:type="dxa"/>
            <w:tcMar>
              <w:top w:w="0" w:type="dxa"/>
              <w:bottom w:w="0" w:type="dxa"/>
            </w:tcMar>
            <w:vAlign w:val="center"/>
          </w:tcPr>
          <w:p w:rsidR="009D20A6" w:rsidRDefault="006B070D">
            <w:pPr>
              <w:keepNext/>
              <w:keepLines/>
              <w:spacing w:after="0" w:line="240" w:lineRule="auto"/>
            </w:pPr>
            <w:r>
              <w:rPr>
                <w:sz w:val="18"/>
              </w:rPr>
              <w:t>1</w:t>
            </w:r>
          </w:p>
        </w:tc>
        <w:tc>
          <w:tcPr>
            <w:tcW w:w="1860" w:type="dxa"/>
            <w:tcMar>
              <w:top w:w="0" w:type="dxa"/>
              <w:bottom w:w="0" w:type="dxa"/>
            </w:tcMar>
            <w:vAlign w:val="center"/>
          </w:tcPr>
          <w:p w:rsidR="009D20A6" w:rsidRDefault="006B070D">
            <w:pPr>
              <w:keepNext/>
              <w:keepLines/>
              <w:spacing w:after="0" w:line="240" w:lineRule="auto"/>
              <w:jc w:val="right"/>
            </w:pPr>
            <w:r>
              <w:rPr>
                <w:sz w:val="18"/>
              </w:rPr>
              <w:t>171.171,52</w:t>
            </w:r>
          </w:p>
        </w:tc>
        <w:tc>
          <w:tcPr>
            <w:tcW w:w="1860" w:type="dxa"/>
            <w:tcMar>
              <w:top w:w="0" w:type="dxa"/>
              <w:bottom w:w="0" w:type="dxa"/>
            </w:tcMar>
            <w:vAlign w:val="center"/>
          </w:tcPr>
          <w:p w:rsidR="009D20A6" w:rsidRDefault="006B070D">
            <w:pPr>
              <w:keepNext/>
              <w:keepLines/>
              <w:spacing w:after="0" w:line="240" w:lineRule="auto"/>
              <w:jc w:val="right"/>
            </w:pPr>
            <w:r>
              <w:rPr>
                <w:sz w:val="18"/>
              </w:rPr>
              <w:t>157.493,50</w:t>
            </w:r>
          </w:p>
        </w:tc>
        <w:tc>
          <w:tcPr>
            <w:tcW w:w="700" w:type="dxa"/>
            <w:tcMar>
              <w:top w:w="0" w:type="dxa"/>
              <w:bottom w:w="0" w:type="dxa"/>
            </w:tcMar>
            <w:vAlign w:val="center"/>
          </w:tcPr>
          <w:p w:rsidR="009D20A6" w:rsidRDefault="006B070D">
            <w:pPr>
              <w:keepNext/>
              <w:keepLines/>
              <w:spacing w:after="0" w:line="240" w:lineRule="auto"/>
              <w:jc w:val="right"/>
            </w:pPr>
            <w:r>
              <w:rPr>
                <w:sz w:val="18"/>
              </w:rPr>
              <w:t>92,0</w:t>
            </w:r>
          </w:p>
        </w:tc>
      </w:tr>
    </w:tbl>
    <w:p w:rsidR="009D20A6" w:rsidRDefault="009D20A6">
      <w:pPr>
        <w:spacing w:after="0"/>
      </w:pPr>
    </w:p>
    <w:p w:rsidR="009D20A6" w:rsidRDefault="006B070D">
      <w:r>
        <w:t>Financijska imovina u iznosu od 157.493,50 eura sastoji se od:</w:t>
      </w:r>
    </w:p>
    <w:p w:rsidR="009D20A6" w:rsidRDefault="006B070D">
      <w:pPr>
        <w:pStyle w:val="Odlomakpopisa"/>
        <w:numPr>
          <w:ilvl w:val="0"/>
          <w:numId w:val="1"/>
        </w:numPr>
      </w:pPr>
      <w:r>
        <w:t xml:space="preserve">potraživanja za sredstva uplaćena u nadležni </w:t>
      </w:r>
      <w:proofErr w:type="spellStart"/>
      <w:r>
        <w:t>prorčun</w:t>
      </w:r>
      <w:proofErr w:type="spellEnd"/>
      <w:r>
        <w:t xml:space="preserve"> (167) u iznosu od 40.573,17 eura</w:t>
      </w:r>
    </w:p>
    <w:p w:rsidR="009D20A6" w:rsidRDefault="006B070D">
      <w:pPr>
        <w:pStyle w:val="Odlomakpopisa"/>
        <w:numPr>
          <w:ilvl w:val="0"/>
          <w:numId w:val="1"/>
        </w:numPr>
      </w:pPr>
      <w:r>
        <w:t>potraživanja za pomoći (163) u iznosu od 116.008,94 eura</w:t>
      </w:r>
    </w:p>
    <w:p w:rsidR="009D20A6" w:rsidRDefault="006B070D">
      <w:pPr>
        <w:pStyle w:val="Odlomakpopisa"/>
        <w:numPr>
          <w:ilvl w:val="0"/>
          <w:numId w:val="1"/>
        </w:numPr>
      </w:pPr>
      <w:r>
        <w:t>ostala potraživanja (HZZO) u iznosu od 636,99 eura</w:t>
      </w:r>
    </w:p>
    <w:p w:rsidR="009D20A6" w:rsidRDefault="006B070D">
      <w:pPr>
        <w:pStyle w:val="Odlomakpopisa"/>
        <w:numPr>
          <w:ilvl w:val="0"/>
          <w:numId w:val="1"/>
        </w:numPr>
      </w:pPr>
      <w:r>
        <w:t xml:space="preserve">potraživanja za </w:t>
      </w:r>
      <w:proofErr w:type="spellStart"/>
      <w:r>
        <w:t>za</w:t>
      </w:r>
      <w:proofErr w:type="spellEnd"/>
      <w:r>
        <w:t xml:space="preserve"> upravne i administrativne pristojbe (165) u iznosu od 274,40 eura</w:t>
      </w:r>
    </w:p>
    <w:p w:rsidR="009D20A6" w:rsidRDefault="009D20A6"/>
    <w:p w:rsidR="009D20A6" w:rsidRDefault="006B070D">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922</w:t>
            </w:r>
          </w:p>
        </w:tc>
        <w:tc>
          <w:tcPr>
            <w:tcW w:w="3180" w:type="dxa"/>
            <w:tcMar>
              <w:top w:w="0" w:type="dxa"/>
              <w:bottom w:w="0" w:type="dxa"/>
            </w:tcMar>
            <w:vAlign w:val="center"/>
          </w:tcPr>
          <w:p w:rsidR="009D20A6" w:rsidRDefault="006B070D">
            <w:pPr>
              <w:keepNext/>
              <w:keepLines/>
              <w:spacing w:after="0" w:line="240" w:lineRule="auto"/>
            </w:pPr>
            <w:r>
              <w:rPr>
                <w:sz w:val="18"/>
              </w:rPr>
              <w:t>Rezultat - višak/manjak (šifre 9221-9222)</w:t>
            </w:r>
          </w:p>
        </w:tc>
        <w:tc>
          <w:tcPr>
            <w:tcW w:w="700" w:type="dxa"/>
            <w:tcMar>
              <w:top w:w="0" w:type="dxa"/>
              <w:bottom w:w="0" w:type="dxa"/>
            </w:tcMar>
            <w:vAlign w:val="center"/>
          </w:tcPr>
          <w:p w:rsidR="009D20A6" w:rsidRDefault="006B070D">
            <w:pPr>
              <w:keepNext/>
              <w:keepLines/>
              <w:spacing w:after="0" w:line="240" w:lineRule="auto"/>
            </w:pPr>
            <w:r>
              <w:rPr>
                <w:sz w:val="18"/>
              </w:rPr>
              <w:t>922</w:t>
            </w:r>
          </w:p>
        </w:tc>
        <w:tc>
          <w:tcPr>
            <w:tcW w:w="1860" w:type="dxa"/>
            <w:tcMar>
              <w:top w:w="0" w:type="dxa"/>
              <w:bottom w:w="0" w:type="dxa"/>
            </w:tcMar>
            <w:vAlign w:val="center"/>
          </w:tcPr>
          <w:p w:rsidR="009D20A6" w:rsidRDefault="006B070D">
            <w:pPr>
              <w:keepNext/>
              <w:keepLines/>
              <w:spacing w:after="0" w:line="240" w:lineRule="auto"/>
              <w:jc w:val="right"/>
            </w:pPr>
            <w:r>
              <w:rPr>
                <w:sz w:val="18"/>
              </w:rPr>
              <w:t>57.724,10</w:t>
            </w:r>
          </w:p>
        </w:tc>
        <w:tc>
          <w:tcPr>
            <w:tcW w:w="1860" w:type="dxa"/>
            <w:tcMar>
              <w:top w:w="0" w:type="dxa"/>
              <w:bottom w:w="0" w:type="dxa"/>
            </w:tcMar>
            <w:vAlign w:val="center"/>
          </w:tcPr>
          <w:p w:rsidR="009D20A6" w:rsidRDefault="006B070D">
            <w:pPr>
              <w:keepNext/>
              <w:keepLines/>
              <w:spacing w:after="0" w:line="240" w:lineRule="auto"/>
              <w:jc w:val="right"/>
            </w:pPr>
            <w:r>
              <w:rPr>
                <w:sz w:val="18"/>
              </w:rPr>
              <w:t>-83.819,33</w:t>
            </w:r>
          </w:p>
        </w:tc>
        <w:tc>
          <w:tcPr>
            <w:tcW w:w="700" w:type="dxa"/>
            <w:tcMar>
              <w:top w:w="0" w:type="dxa"/>
              <w:bottom w:w="0" w:type="dxa"/>
            </w:tcMar>
            <w:vAlign w:val="center"/>
          </w:tcPr>
          <w:p w:rsidR="009D20A6" w:rsidRDefault="006B070D">
            <w:pPr>
              <w:keepNext/>
              <w:keepLines/>
              <w:spacing w:after="0" w:line="240" w:lineRule="auto"/>
              <w:jc w:val="right"/>
            </w:pPr>
            <w:r>
              <w:rPr>
                <w:sz w:val="18"/>
              </w:rPr>
              <w:t>-145,2</w:t>
            </w:r>
          </w:p>
        </w:tc>
      </w:tr>
    </w:tbl>
    <w:p w:rsidR="009D20A6" w:rsidRDefault="009D20A6">
      <w:pPr>
        <w:spacing w:after="0"/>
      </w:pPr>
    </w:p>
    <w:p w:rsidR="009D20A6" w:rsidRDefault="006B070D">
      <w:r>
        <w:t>Ukupni prihodi u izvještajnom razdoblju su 1.557.584,11 eura, ukupni rashodi 1.686.304,82 eura, ukupni rashodi za nabavu proizvedene dugotrajne imovine iznose 12.822,72 eura. To je ukupno manjak od 141.543,43 eura (PR-RAS Y004) što s vi</w:t>
      </w:r>
      <w:r>
        <w:t>škom prihoda iz prethodne godine u iznosu od 57.724,10 eura, iznosi ukupan manjak prihoda i primitaka u iznosu od 83.819,33 eura.</w:t>
      </w:r>
    </w:p>
    <w:p w:rsidR="009D20A6" w:rsidRDefault="009D20A6"/>
    <w:p w:rsidR="009D20A6" w:rsidRDefault="006B070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963</w:t>
            </w:r>
          </w:p>
        </w:tc>
        <w:tc>
          <w:tcPr>
            <w:tcW w:w="3180" w:type="dxa"/>
            <w:tcMar>
              <w:top w:w="0" w:type="dxa"/>
              <w:bottom w:w="0" w:type="dxa"/>
            </w:tcMar>
            <w:vAlign w:val="center"/>
          </w:tcPr>
          <w:p w:rsidR="009D20A6" w:rsidRDefault="006B070D">
            <w:pPr>
              <w:keepNext/>
              <w:keepLines/>
              <w:spacing w:after="0" w:line="240" w:lineRule="auto"/>
            </w:pPr>
            <w:r>
              <w:rPr>
                <w:sz w:val="18"/>
              </w:rPr>
              <w:t>Obračunate pomoći iz</w:t>
            </w:r>
            <w:r>
              <w:rPr>
                <w:sz w:val="18"/>
              </w:rPr>
              <w:t xml:space="preserve"> inozemstva i od subjekata unutar općeg proračuna (šifre 9631 do 9638)</w:t>
            </w:r>
          </w:p>
        </w:tc>
        <w:tc>
          <w:tcPr>
            <w:tcW w:w="700" w:type="dxa"/>
            <w:tcMar>
              <w:top w:w="0" w:type="dxa"/>
              <w:bottom w:w="0" w:type="dxa"/>
            </w:tcMar>
            <w:vAlign w:val="center"/>
          </w:tcPr>
          <w:p w:rsidR="009D20A6" w:rsidRDefault="006B070D">
            <w:pPr>
              <w:keepNext/>
              <w:keepLines/>
              <w:spacing w:after="0" w:line="240" w:lineRule="auto"/>
            </w:pPr>
            <w:r>
              <w:rPr>
                <w:sz w:val="18"/>
              </w:rPr>
              <w:t>963</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1860" w:type="dxa"/>
            <w:tcMar>
              <w:top w:w="0" w:type="dxa"/>
              <w:bottom w:w="0" w:type="dxa"/>
            </w:tcMar>
            <w:vAlign w:val="center"/>
          </w:tcPr>
          <w:p w:rsidR="009D20A6" w:rsidRDefault="006B070D">
            <w:pPr>
              <w:keepNext/>
              <w:keepLines/>
              <w:spacing w:after="0" w:line="240" w:lineRule="auto"/>
              <w:jc w:val="right"/>
            </w:pPr>
            <w:r>
              <w:rPr>
                <w:sz w:val="18"/>
              </w:rPr>
              <w:t>116.008,94</w:t>
            </w:r>
          </w:p>
        </w:tc>
        <w:tc>
          <w:tcPr>
            <w:tcW w:w="700" w:type="dxa"/>
            <w:tcMar>
              <w:top w:w="0" w:type="dxa"/>
              <w:bottom w:w="0" w:type="dxa"/>
            </w:tcMar>
            <w:vAlign w:val="center"/>
          </w:tcPr>
          <w:p w:rsidR="009D20A6" w:rsidRDefault="006B070D">
            <w:pPr>
              <w:keepNext/>
              <w:keepLines/>
              <w:spacing w:after="0" w:line="240" w:lineRule="auto"/>
              <w:jc w:val="right"/>
            </w:pPr>
            <w:r>
              <w:rPr>
                <w:sz w:val="18"/>
              </w:rPr>
              <w:t>-</w:t>
            </w:r>
          </w:p>
        </w:tc>
      </w:tr>
    </w:tbl>
    <w:p w:rsidR="009D20A6" w:rsidRDefault="009D20A6">
      <w:pPr>
        <w:spacing w:after="0"/>
      </w:pPr>
    </w:p>
    <w:p w:rsidR="009D20A6" w:rsidRDefault="006B070D">
      <w:r>
        <w:t>Zbog nove sheme knjiženja (ukidanja kontinuiranih rashoda i knjiženja potraživanja za plaću i Ugovore o djelu) indeks je povećan.</w:t>
      </w:r>
    </w:p>
    <w:p w:rsidR="009D20A6" w:rsidRDefault="006B070D">
      <w:r>
        <w:t>Obračunate pomoći u iznosu od 116.008,94 eura odnose se na:</w:t>
      </w:r>
    </w:p>
    <w:p w:rsidR="009D20A6" w:rsidRDefault="006B070D">
      <w:pPr>
        <w:pStyle w:val="Odlomakpopisa"/>
        <w:numPr>
          <w:ilvl w:val="0"/>
          <w:numId w:val="2"/>
        </w:numPr>
      </w:pPr>
      <w:r>
        <w:t>Plaću škole 107.202,64 €</w:t>
      </w:r>
    </w:p>
    <w:p w:rsidR="009D20A6" w:rsidRDefault="006B070D">
      <w:pPr>
        <w:pStyle w:val="Odlomakpopisa"/>
        <w:numPr>
          <w:ilvl w:val="0"/>
          <w:numId w:val="2"/>
        </w:numPr>
      </w:pPr>
      <w:r>
        <w:t>Plaću vrtića 6.510,66 €</w:t>
      </w:r>
    </w:p>
    <w:p w:rsidR="009D20A6" w:rsidRDefault="006B070D">
      <w:pPr>
        <w:pStyle w:val="Odlomakpopisa"/>
        <w:numPr>
          <w:ilvl w:val="0"/>
          <w:numId w:val="2"/>
        </w:numPr>
      </w:pPr>
      <w:r>
        <w:t>Pomoćnike u nastavi 1.879,49 €</w:t>
      </w:r>
    </w:p>
    <w:p w:rsidR="009D20A6" w:rsidRDefault="006B070D">
      <w:pPr>
        <w:pStyle w:val="Odlomakpopisa"/>
        <w:numPr>
          <w:ilvl w:val="0"/>
          <w:numId w:val="2"/>
        </w:numPr>
      </w:pPr>
      <w:r>
        <w:t>Ugovore o djelu 416,15 €</w:t>
      </w:r>
    </w:p>
    <w:p w:rsidR="009D20A6" w:rsidRDefault="009D20A6"/>
    <w:p w:rsidR="009D20A6" w:rsidRDefault="006B070D">
      <w:pPr>
        <w:keepNext/>
        <w:spacing w:line="240" w:lineRule="auto"/>
        <w:jc w:val="center"/>
      </w:pPr>
      <w:r>
        <w:rPr>
          <w:b/>
          <w:sz w:val="28"/>
        </w:rPr>
        <w:t>Izvještaj o rashodima prema funkcijskoj klasifikaciji</w:t>
      </w:r>
    </w:p>
    <w:p w:rsidR="009D20A6" w:rsidRDefault="006B070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0911</w:t>
            </w:r>
          </w:p>
        </w:tc>
        <w:tc>
          <w:tcPr>
            <w:tcW w:w="3180" w:type="dxa"/>
            <w:tcMar>
              <w:top w:w="0" w:type="dxa"/>
              <w:bottom w:w="0" w:type="dxa"/>
            </w:tcMar>
            <w:vAlign w:val="center"/>
          </w:tcPr>
          <w:p w:rsidR="009D20A6" w:rsidRDefault="006B070D">
            <w:pPr>
              <w:keepNext/>
              <w:keepLines/>
              <w:spacing w:after="0" w:line="240" w:lineRule="auto"/>
            </w:pPr>
            <w:r>
              <w:rPr>
                <w:sz w:val="18"/>
              </w:rPr>
              <w:t>Predškolsko obrazovanje</w:t>
            </w:r>
          </w:p>
        </w:tc>
        <w:tc>
          <w:tcPr>
            <w:tcW w:w="700" w:type="dxa"/>
            <w:tcMar>
              <w:top w:w="0" w:type="dxa"/>
              <w:bottom w:w="0" w:type="dxa"/>
            </w:tcMar>
            <w:vAlign w:val="center"/>
          </w:tcPr>
          <w:p w:rsidR="009D20A6" w:rsidRDefault="006B070D">
            <w:pPr>
              <w:keepNext/>
              <w:keepLines/>
              <w:spacing w:after="0" w:line="240" w:lineRule="auto"/>
            </w:pPr>
            <w:r>
              <w:rPr>
                <w:sz w:val="18"/>
              </w:rPr>
              <w:t>0911</w:t>
            </w:r>
          </w:p>
        </w:tc>
        <w:tc>
          <w:tcPr>
            <w:tcW w:w="1860" w:type="dxa"/>
            <w:tcMar>
              <w:top w:w="0" w:type="dxa"/>
              <w:bottom w:w="0" w:type="dxa"/>
            </w:tcMar>
            <w:vAlign w:val="center"/>
          </w:tcPr>
          <w:p w:rsidR="009D20A6" w:rsidRDefault="006B070D">
            <w:pPr>
              <w:keepNext/>
              <w:keepLines/>
              <w:spacing w:after="0" w:line="240" w:lineRule="auto"/>
              <w:jc w:val="right"/>
            </w:pPr>
            <w:r>
              <w:rPr>
                <w:sz w:val="18"/>
              </w:rPr>
              <w:t>6.390,61</w:t>
            </w:r>
          </w:p>
        </w:tc>
        <w:tc>
          <w:tcPr>
            <w:tcW w:w="1860" w:type="dxa"/>
            <w:tcMar>
              <w:top w:w="0" w:type="dxa"/>
              <w:bottom w:w="0" w:type="dxa"/>
            </w:tcMar>
            <w:vAlign w:val="center"/>
          </w:tcPr>
          <w:p w:rsidR="009D20A6" w:rsidRDefault="006B070D">
            <w:pPr>
              <w:keepNext/>
              <w:keepLines/>
              <w:spacing w:after="0" w:line="240" w:lineRule="auto"/>
              <w:jc w:val="right"/>
            </w:pPr>
            <w:r>
              <w:rPr>
                <w:sz w:val="18"/>
              </w:rPr>
              <w:t>266,59</w:t>
            </w:r>
          </w:p>
        </w:tc>
        <w:tc>
          <w:tcPr>
            <w:tcW w:w="700" w:type="dxa"/>
            <w:tcMar>
              <w:top w:w="0" w:type="dxa"/>
              <w:bottom w:w="0" w:type="dxa"/>
            </w:tcMar>
            <w:vAlign w:val="center"/>
          </w:tcPr>
          <w:p w:rsidR="009D20A6" w:rsidRDefault="006B070D">
            <w:pPr>
              <w:keepNext/>
              <w:keepLines/>
              <w:spacing w:after="0" w:line="240" w:lineRule="auto"/>
              <w:jc w:val="right"/>
            </w:pPr>
            <w:r>
              <w:rPr>
                <w:sz w:val="18"/>
              </w:rPr>
              <w:t>4,2</w:t>
            </w:r>
          </w:p>
        </w:tc>
      </w:tr>
    </w:tbl>
    <w:p w:rsidR="009D20A6" w:rsidRDefault="009D20A6">
      <w:pPr>
        <w:spacing w:after="0"/>
      </w:pPr>
    </w:p>
    <w:p w:rsidR="009D20A6" w:rsidRDefault="006B070D">
      <w:pPr>
        <w:pStyle w:val="Odlomakpopisa"/>
        <w:numPr>
          <w:ilvl w:val="0"/>
          <w:numId w:val="2"/>
        </w:numPr>
      </w:pPr>
      <w:r>
        <w:t xml:space="preserve">Bilješka uz poziciju 0911 Predškolsko obrazovanje - navedeni su rashodi koji se odnose na obvezni programa </w:t>
      </w:r>
      <w:proofErr w:type="spellStart"/>
      <w:r>
        <w:t>predškole</w:t>
      </w:r>
      <w:proofErr w:type="spellEnd"/>
      <w:r>
        <w:t xml:space="preserve"> te su isti utrošeni za potrebe </w:t>
      </w:r>
      <w:proofErr w:type="spellStart"/>
      <w:r>
        <w:t>predškole</w:t>
      </w:r>
      <w:proofErr w:type="spellEnd"/>
      <w:r>
        <w:t xml:space="preserve"> u dječjem vrtiću (Dječji vrtić pri Osnovnoj školi Zdenci).</w:t>
      </w:r>
    </w:p>
    <w:p w:rsidR="009D20A6" w:rsidRDefault="009D20A6"/>
    <w:p w:rsidR="009D20A6" w:rsidRDefault="006B070D">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096</w:t>
            </w:r>
          </w:p>
        </w:tc>
        <w:tc>
          <w:tcPr>
            <w:tcW w:w="3180" w:type="dxa"/>
            <w:tcMar>
              <w:top w:w="0" w:type="dxa"/>
              <w:bottom w:w="0" w:type="dxa"/>
            </w:tcMar>
            <w:vAlign w:val="center"/>
          </w:tcPr>
          <w:p w:rsidR="009D20A6" w:rsidRDefault="006B070D">
            <w:pPr>
              <w:keepNext/>
              <w:keepLines/>
              <w:spacing w:after="0" w:line="240" w:lineRule="auto"/>
            </w:pPr>
            <w:r>
              <w:rPr>
                <w:sz w:val="18"/>
              </w:rPr>
              <w:t>Dodatne usluge u obrazovanju</w:t>
            </w:r>
          </w:p>
        </w:tc>
        <w:tc>
          <w:tcPr>
            <w:tcW w:w="700" w:type="dxa"/>
            <w:tcMar>
              <w:top w:w="0" w:type="dxa"/>
              <w:bottom w:w="0" w:type="dxa"/>
            </w:tcMar>
            <w:vAlign w:val="center"/>
          </w:tcPr>
          <w:p w:rsidR="009D20A6" w:rsidRDefault="006B070D">
            <w:pPr>
              <w:keepNext/>
              <w:keepLines/>
              <w:spacing w:after="0" w:line="240" w:lineRule="auto"/>
            </w:pPr>
            <w:r>
              <w:rPr>
                <w:sz w:val="18"/>
              </w:rPr>
              <w:t>096</w:t>
            </w:r>
          </w:p>
        </w:tc>
        <w:tc>
          <w:tcPr>
            <w:tcW w:w="1860" w:type="dxa"/>
            <w:tcMar>
              <w:top w:w="0" w:type="dxa"/>
              <w:bottom w:w="0" w:type="dxa"/>
            </w:tcMar>
            <w:vAlign w:val="center"/>
          </w:tcPr>
          <w:p w:rsidR="009D20A6" w:rsidRDefault="006B070D">
            <w:pPr>
              <w:keepNext/>
              <w:keepLines/>
              <w:spacing w:after="0" w:line="240" w:lineRule="auto"/>
              <w:jc w:val="right"/>
            </w:pPr>
            <w:r>
              <w:rPr>
                <w:sz w:val="18"/>
              </w:rPr>
              <w:t>49.856,08</w:t>
            </w:r>
          </w:p>
        </w:tc>
        <w:tc>
          <w:tcPr>
            <w:tcW w:w="1860" w:type="dxa"/>
            <w:tcMar>
              <w:top w:w="0" w:type="dxa"/>
              <w:bottom w:w="0" w:type="dxa"/>
            </w:tcMar>
            <w:vAlign w:val="center"/>
          </w:tcPr>
          <w:p w:rsidR="009D20A6" w:rsidRDefault="006B070D">
            <w:pPr>
              <w:keepNext/>
              <w:keepLines/>
              <w:spacing w:after="0" w:line="240" w:lineRule="auto"/>
              <w:jc w:val="right"/>
            </w:pPr>
            <w:r>
              <w:rPr>
                <w:sz w:val="18"/>
              </w:rPr>
              <w:t>53.632,71</w:t>
            </w:r>
          </w:p>
        </w:tc>
        <w:tc>
          <w:tcPr>
            <w:tcW w:w="700" w:type="dxa"/>
            <w:tcMar>
              <w:top w:w="0" w:type="dxa"/>
              <w:bottom w:w="0" w:type="dxa"/>
            </w:tcMar>
            <w:vAlign w:val="center"/>
          </w:tcPr>
          <w:p w:rsidR="009D20A6" w:rsidRDefault="006B070D">
            <w:pPr>
              <w:keepNext/>
              <w:keepLines/>
              <w:spacing w:after="0" w:line="240" w:lineRule="auto"/>
              <w:jc w:val="right"/>
            </w:pPr>
            <w:r>
              <w:rPr>
                <w:sz w:val="18"/>
              </w:rPr>
              <w:t>107,6</w:t>
            </w:r>
          </w:p>
        </w:tc>
      </w:tr>
    </w:tbl>
    <w:p w:rsidR="009D20A6" w:rsidRDefault="009D20A6">
      <w:pPr>
        <w:spacing w:after="0"/>
      </w:pPr>
    </w:p>
    <w:p w:rsidR="009D20A6" w:rsidRDefault="006B070D">
      <w:pPr>
        <w:pStyle w:val="Odlomakpopisa"/>
        <w:numPr>
          <w:ilvl w:val="0"/>
          <w:numId w:val="2"/>
        </w:numPr>
      </w:pPr>
      <w:r>
        <w:t>Bilješka uz poziciju 096 Dodatne usluge u obrazovanju - navedeni su troškovi prehrane učenika</w:t>
      </w:r>
    </w:p>
    <w:p w:rsidR="009D20A6" w:rsidRDefault="009D20A6"/>
    <w:p w:rsidR="009D20A6" w:rsidRDefault="006B070D">
      <w:pPr>
        <w:keepNext/>
        <w:spacing w:line="240" w:lineRule="auto"/>
        <w:jc w:val="center"/>
      </w:pPr>
      <w:r>
        <w:rPr>
          <w:b/>
          <w:sz w:val="28"/>
        </w:rPr>
        <w:t>Promjene u vrijednosti i obujmu imovine i obveza</w:t>
      </w:r>
    </w:p>
    <w:p w:rsidR="009D20A6" w:rsidRDefault="006B070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6B070D">
            <w:pPr>
              <w:keepNext/>
              <w:keepLines/>
              <w:spacing w:after="0" w:line="240" w:lineRule="auto"/>
            </w:pPr>
            <w:r>
              <w:rPr>
                <w:sz w:val="18"/>
              </w:rPr>
              <w:t>91511</w:t>
            </w:r>
          </w:p>
        </w:tc>
        <w:tc>
          <w:tcPr>
            <w:tcW w:w="3180" w:type="dxa"/>
            <w:tcMar>
              <w:top w:w="0" w:type="dxa"/>
              <w:bottom w:w="0" w:type="dxa"/>
            </w:tcMar>
            <w:vAlign w:val="center"/>
          </w:tcPr>
          <w:p w:rsidR="009D20A6" w:rsidRDefault="006B070D">
            <w:pPr>
              <w:keepNext/>
              <w:keepLines/>
              <w:spacing w:after="0" w:line="240" w:lineRule="auto"/>
            </w:pPr>
            <w:r>
              <w:rPr>
                <w:sz w:val="18"/>
              </w:rPr>
              <w:t xml:space="preserve">Promjene u </w:t>
            </w:r>
            <w:r>
              <w:rPr>
                <w:sz w:val="18"/>
              </w:rPr>
              <w:t>vrijednosti imovine (šifre P001+P008)</w:t>
            </w:r>
          </w:p>
        </w:tc>
        <w:tc>
          <w:tcPr>
            <w:tcW w:w="700" w:type="dxa"/>
            <w:tcMar>
              <w:top w:w="0" w:type="dxa"/>
              <w:bottom w:w="0" w:type="dxa"/>
            </w:tcMar>
            <w:vAlign w:val="center"/>
          </w:tcPr>
          <w:p w:rsidR="009D20A6" w:rsidRDefault="006B070D">
            <w:pPr>
              <w:keepNext/>
              <w:keepLines/>
              <w:spacing w:after="0" w:line="240" w:lineRule="auto"/>
            </w:pPr>
            <w:r>
              <w:rPr>
                <w:sz w:val="18"/>
              </w:rPr>
              <w:t>91511</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1860" w:type="dxa"/>
            <w:tcMar>
              <w:top w:w="0" w:type="dxa"/>
              <w:bottom w:w="0" w:type="dxa"/>
            </w:tcMar>
            <w:vAlign w:val="center"/>
          </w:tcPr>
          <w:p w:rsidR="009D20A6" w:rsidRDefault="006B070D">
            <w:pPr>
              <w:keepNext/>
              <w:keepLines/>
              <w:spacing w:after="0" w:line="240" w:lineRule="auto"/>
              <w:jc w:val="right"/>
            </w:pPr>
            <w:r>
              <w:rPr>
                <w:sz w:val="18"/>
              </w:rPr>
              <w:t>70.294,27</w:t>
            </w:r>
          </w:p>
        </w:tc>
        <w:tc>
          <w:tcPr>
            <w:tcW w:w="700" w:type="dxa"/>
            <w:tcMar>
              <w:top w:w="0" w:type="dxa"/>
              <w:bottom w:w="0" w:type="dxa"/>
            </w:tcMar>
            <w:vAlign w:val="center"/>
          </w:tcPr>
          <w:p w:rsidR="009D20A6" w:rsidRDefault="006B070D">
            <w:pPr>
              <w:keepNext/>
              <w:keepLines/>
              <w:spacing w:after="0" w:line="240" w:lineRule="auto"/>
              <w:jc w:val="right"/>
            </w:pPr>
            <w:r>
              <w:rPr>
                <w:sz w:val="18"/>
              </w:rPr>
              <w:t>-</w:t>
            </w:r>
          </w:p>
        </w:tc>
      </w:tr>
    </w:tbl>
    <w:p w:rsidR="009D20A6" w:rsidRDefault="009D20A6">
      <w:pPr>
        <w:spacing w:after="0"/>
      </w:pPr>
    </w:p>
    <w:p w:rsidR="009D20A6" w:rsidRDefault="006B070D">
      <w:pPr>
        <w:pStyle w:val="Odlomakpopisa"/>
        <w:numPr>
          <w:ilvl w:val="0"/>
          <w:numId w:val="2"/>
        </w:numPr>
      </w:pPr>
      <w:r>
        <w:t>Bilješka uz poziciju 91511 - Promjene u vrijednosti imovine - u izvještajnom razdoblju nismo imali donacija niti prijenosa imovine. Iznos od 70.294,27 odnosi se na amortiziranu vrijednost.</w:t>
      </w:r>
    </w:p>
    <w:p w:rsidR="009D20A6" w:rsidRDefault="009D20A6"/>
    <w:p w:rsidR="009D20A6" w:rsidRDefault="006B070D">
      <w:pPr>
        <w:keepNext/>
        <w:spacing w:line="240" w:lineRule="auto"/>
        <w:jc w:val="center"/>
      </w:pPr>
      <w:r>
        <w:rPr>
          <w:b/>
          <w:sz w:val="28"/>
        </w:rPr>
        <w:t>Izvještaj o obvezama</w:t>
      </w:r>
    </w:p>
    <w:p w:rsidR="009D20A6" w:rsidRDefault="006B070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20A6">
        <w:tblPrEx>
          <w:tblCellMar>
            <w:top w:w="0" w:type="dxa"/>
            <w:bottom w:w="0" w:type="dxa"/>
          </w:tblCellMar>
        </w:tblPrEx>
        <w:trPr>
          <w:cantSplit/>
        </w:trPr>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20A6" w:rsidRDefault="006B070D">
            <w:pPr>
              <w:keepNext/>
              <w:keepLines/>
              <w:spacing w:after="0" w:line="240" w:lineRule="auto"/>
              <w:jc w:val="center"/>
            </w:pPr>
            <w:r>
              <w:rPr>
                <w:b/>
                <w:sz w:val="18"/>
              </w:rPr>
              <w:t>Indeks (%)</w:t>
            </w:r>
          </w:p>
        </w:tc>
      </w:tr>
      <w:tr w:rsidR="009D20A6">
        <w:tblPrEx>
          <w:tblCellMar>
            <w:top w:w="0" w:type="dxa"/>
            <w:bottom w:w="0" w:type="dxa"/>
          </w:tblCellMar>
        </w:tblPrEx>
        <w:trPr>
          <w:cantSplit/>
          <w:trHeight w:val="560"/>
        </w:trPr>
        <w:tc>
          <w:tcPr>
            <w:tcW w:w="700" w:type="dxa"/>
            <w:tcMar>
              <w:top w:w="0" w:type="dxa"/>
              <w:bottom w:w="0" w:type="dxa"/>
            </w:tcMar>
            <w:vAlign w:val="center"/>
          </w:tcPr>
          <w:p w:rsidR="009D20A6" w:rsidRDefault="009D20A6">
            <w:pPr>
              <w:keepNext/>
              <w:keepLines/>
              <w:spacing w:after="0" w:line="240" w:lineRule="auto"/>
            </w:pPr>
          </w:p>
        </w:tc>
        <w:tc>
          <w:tcPr>
            <w:tcW w:w="3180" w:type="dxa"/>
            <w:tcMar>
              <w:top w:w="0" w:type="dxa"/>
              <w:bottom w:w="0" w:type="dxa"/>
            </w:tcMar>
            <w:vAlign w:val="center"/>
          </w:tcPr>
          <w:p w:rsidR="009D20A6" w:rsidRDefault="006B070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9D20A6" w:rsidRDefault="006B070D">
            <w:pPr>
              <w:keepNext/>
              <w:keepLines/>
              <w:spacing w:after="0" w:line="240" w:lineRule="auto"/>
            </w:pPr>
            <w:r>
              <w:rPr>
                <w:sz w:val="18"/>
              </w:rPr>
              <w:t>V007</w:t>
            </w:r>
          </w:p>
        </w:tc>
        <w:tc>
          <w:tcPr>
            <w:tcW w:w="1860" w:type="dxa"/>
            <w:tcMar>
              <w:top w:w="0" w:type="dxa"/>
              <w:bottom w:w="0" w:type="dxa"/>
            </w:tcMar>
            <w:vAlign w:val="center"/>
          </w:tcPr>
          <w:p w:rsidR="009D20A6" w:rsidRDefault="006B070D">
            <w:pPr>
              <w:keepNext/>
              <w:keepLines/>
              <w:spacing w:after="0" w:line="240" w:lineRule="auto"/>
              <w:jc w:val="right"/>
            </w:pPr>
            <w:r>
              <w:rPr>
                <w:sz w:val="18"/>
              </w:rPr>
              <w:t>0,00</w:t>
            </w:r>
          </w:p>
        </w:tc>
        <w:tc>
          <w:tcPr>
            <w:tcW w:w="700" w:type="dxa"/>
            <w:tcMar>
              <w:top w:w="0" w:type="dxa"/>
              <w:bottom w:w="0" w:type="dxa"/>
            </w:tcMar>
            <w:vAlign w:val="center"/>
          </w:tcPr>
          <w:p w:rsidR="009D20A6" w:rsidRDefault="006B070D">
            <w:pPr>
              <w:keepNext/>
              <w:keepLines/>
              <w:spacing w:after="0" w:line="240" w:lineRule="auto"/>
              <w:jc w:val="right"/>
            </w:pPr>
            <w:r>
              <w:rPr>
                <w:sz w:val="18"/>
              </w:rPr>
              <w:t>-</w:t>
            </w:r>
          </w:p>
        </w:tc>
      </w:tr>
    </w:tbl>
    <w:p w:rsidR="009D20A6" w:rsidRDefault="009D20A6">
      <w:pPr>
        <w:spacing w:after="0"/>
      </w:pPr>
    </w:p>
    <w:p w:rsidR="009D20A6" w:rsidRDefault="006B070D">
      <w:r>
        <w:t>Stanje dospjelih obveza na kraju izvještajnog razdoblja je 0,00 eura. Budući da nemamo obveze čije je dospijeće bilo 31. prosinca 2025. ili ranije, sve obveze na kraju izvještajnog razdoblja su nam nedospjele. </w:t>
      </w:r>
    </w:p>
    <w:p w:rsidR="009D20A6" w:rsidRDefault="009D20A6"/>
    <w:p w:rsidR="009D20A6" w:rsidRDefault="006B070D">
      <w:pPr>
        <w:keepNext/>
        <w:spacing w:line="240" w:lineRule="auto"/>
        <w:jc w:val="center"/>
      </w:pPr>
      <w:r>
        <w:rPr>
          <w:sz w:val="28"/>
        </w:rPr>
        <w:t>Bilješka 10.</w:t>
      </w:r>
    </w:p>
    <w:p w:rsidR="009D20A6" w:rsidRDefault="006B070D">
      <w:pPr>
        <w:spacing w:line="240" w:lineRule="auto"/>
        <w:jc w:val="both"/>
      </w:pPr>
      <w:r>
        <w:rPr>
          <w:b/>
        </w:rPr>
        <w:t>EU izvještaj</w:t>
      </w:r>
    </w:p>
    <w:p w:rsidR="009D20A6" w:rsidRDefault="006B070D">
      <w:r>
        <w:t>Projekt se provodi</w:t>
      </w:r>
      <w:r>
        <w:t xml:space="preserve"> u okviru instrumenta “Osiguravanje pomoćnika u nastavi i stručnih komunikacijskih posrednika učenicima s teškoćama u razvoju u osnovnoškolskim i srednjoškolskim odgojno-obrazovnim ustanovama, faza VII” Europskog socijalnog fonda u sklopu Operativnog progr</w:t>
      </w:r>
      <w:r>
        <w:t>ama Učinkoviti ljudski potencijali 2021.-2027. </w:t>
      </w:r>
    </w:p>
    <w:p w:rsidR="009D20A6" w:rsidRDefault="006B070D">
      <w:r>
        <w:t>U izvještajnom razdoblju ostvareni su prihodi u iznosu od 25.516,48 eura te rashodi u iznosu od 25.535,57 eura.</w:t>
      </w:r>
    </w:p>
    <w:p w:rsidR="009D20A6" w:rsidRDefault="006B070D">
      <w:r>
        <w:lastRenderedPageBreak/>
        <w:t> </w:t>
      </w:r>
    </w:p>
    <w:p w:rsidR="009D20A6" w:rsidRDefault="009D20A6"/>
    <w:sectPr w:rsidR="009D2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62629"/>
    <w:multiLevelType w:val="hybridMultilevel"/>
    <w:tmpl w:val="75C0EBC4"/>
    <w:name w:val="disc"/>
    <w:lvl w:ilvl="0" w:tplc="650CD984">
      <w:start w:val="1"/>
      <w:numFmt w:val="bullet"/>
      <w:lvlText w:val="•"/>
      <w:lvlJc w:val="left"/>
      <w:pPr>
        <w:ind w:left="720" w:hanging="360"/>
      </w:pPr>
    </w:lvl>
    <w:lvl w:ilvl="1" w:tplc="3FE237C2">
      <w:start w:val="1"/>
      <w:numFmt w:val="bullet"/>
      <w:lvlText w:val="•"/>
      <w:lvlJc w:val="left"/>
      <w:pPr>
        <w:ind w:left="1440" w:hanging="360"/>
      </w:pPr>
    </w:lvl>
    <w:lvl w:ilvl="2" w:tplc="77160E04">
      <w:start w:val="1"/>
      <w:numFmt w:val="bullet"/>
      <w:lvlText w:val="•"/>
      <w:lvlJc w:val="left"/>
      <w:pPr>
        <w:ind w:left="2160" w:hanging="360"/>
      </w:pPr>
    </w:lvl>
    <w:lvl w:ilvl="3" w:tplc="06925922">
      <w:start w:val="1"/>
      <w:numFmt w:val="bullet"/>
      <w:lvlText w:val="•"/>
      <w:lvlJc w:val="left"/>
      <w:pPr>
        <w:ind w:left="2880" w:hanging="360"/>
      </w:pPr>
    </w:lvl>
    <w:lvl w:ilvl="4" w:tplc="EEC6AC24">
      <w:start w:val="1"/>
      <w:numFmt w:val="bullet"/>
      <w:lvlText w:val="•"/>
      <w:lvlJc w:val="left"/>
      <w:pPr>
        <w:ind w:left="3600" w:hanging="360"/>
      </w:pPr>
    </w:lvl>
    <w:lvl w:ilvl="5" w:tplc="6CB26B5E">
      <w:start w:val="1"/>
      <w:numFmt w:val="bullet"/>
      <w:lvlText w:val="•"/>
      <w:lvlJc w:val="left"/>
      <w:pPr>
        <w:ind w:left="4320" w:hanging="360"/>
      </w:pPr>
    </w:lvl>
    <w:lvl w:ilvl="6" w:tplc="5CB89424">
      <w:start w:val="1"/>
      <w:numFmt w:val="bullet"/>
      <w:lvlText w:val="•"/>
      <w:lvlJc w:val="left"/>
      <w:pPr>
        <w:ind w:left="5040" w:hanging="360"/>
      </w:pPr>
    </w:lvl>
    <w:lvl w:ilvl="7" w:tplc="9656E39A">
      <w:start w:val="1"/>
      <w:numFmt w:val="bullet"/>
      <w:lvlText w:val="•"/>
      <w:lvlJc w:val="left"/>
      <w:pPr>
        <w:ind w:left="5760" w:hanging="360"/>
      </w:pPr>
    </w:lvl>
    <w:lvl w:ilvl="8" w:tplc="2A2E7DFE">
      <w:start w:val="1"/>
      <w:numFmt w:val="bullet"/>
      <w:lvlText w:val="•"/>
      <w:lvlJc w:val="left"/>
      <w:pPr>
        <w:ind w:left="6480" w:hanging="360"/>
      </w:pPr>
    </w:lvl>
  </w:abstractNum>
  <w:abstractNum w:abstractNumId="1" w15:restartNumberingAfterBreak="0">
    <w:nsid w:val="7A1F391C"/>
    <w:multiLevelType w:val="hybridMultilevel"/>
    <w:tmpl w:val="585668D4"/>
    <w:name w:val="decimal"/>
    <w:lvl w:ilvl="0" w:tplc="2F10DE02">
      <w:start w:val="1"/>
      <w:numFmt w:val="decimal"/>
      <w:lvlText w:val="%1."/>
      <w:lvlJc w:val="left"/>
      <w:pPr>
        <w:ind w:left="720" w:hanging="360"/>
      </w:pPr>
    </w:lvl>
    <w:lvl w:ilvl="1" w:tplc="AD3EB664">
      <w:start w:val="1"/>
      <w:numFmt w:val="decimal"/>
      <w:lvlText w:val="%2."/>
      <w:lvlJc w:val="left"/>
      <w:pPr>
        <w:ind w:left="1440" w:hanging="360"/>
      </w:pPr>
    </w:lvl>
    <w:lvl w:ilvl="2" w:tplc="CD9A029E">
      <w:start w:val="1"/>
      <w:numFmt w:val="decimal"/>
      <w:lvlText w:val="%3."/>
      <w:lvlJc w:val="left"/>
      <w:pPr>
        <w:ind w:left="2160" w:hanging="360"/>
      </w:pPr>
    </w:lvl>
    <w:lvl w:ilvl="3" w:tplc="BD02B08C">
      <w:start w:val="1"/>
      <w:numFmt w:val="decimal"/>
      <w:lvlText w:val="%4."/>
      <w:lvlJc w:val="left"/>
      <w:pPr>
        <w:ind w:left="2880" w:hanging="360"/>
      </w:pPr>
    </w:lvl>
    <w:lvl w:ilvl="4" w:tplc="98E03924">
      <w:start w:val="1"/>
      <w:numFmt w:val="decimal"/>
      <w:lvlText w:val="%5."/>
      <w:lvlJc w:val="left"/>
      <w:pPr>
        <w:ind w:left="3600" w:hanging="360"/>
      </w:pPr>
    </w:lvl>
    <w:lvl w:ilvl="5" w:tplc="7792B45A">
      <w:start w:val="1"/>
      <w:numFmt w:val="decimal"/>
      <w:lvlText w:val="%6."/>
      <w:lvlJc w:val="left"/>
      <w:pPr>
        <w:ind w:left="4320" w:hanging="360"/>
      </w:pPr>
    </w:lvl>
    <w:lvl w:ilvl="6" w:tplc="71B6D284">
      <w:start w:val="1"/>
      <w:numFmt w:val="decimal"/>
      <w:lvlText w:val="%7."/>
      <w:lvlJc w:val="left"/>
      <w:pPr>
        <w:ind w:left="5040" w:hanging="360"/>
      </w:pPr>
    </w:lvl>
    <w:lvl w:ilvl="7" w:tplc="BF745C32">
      <w:start w:val="1"/>
      <w:numFmt w:val="decimal"/>
      <w:lvlText w:val="%8."/>
      <w:lvlJc w:val="left"/>
      <w:pPr>
        <w:ind w:left="5760" w:hanging="360"/>
      </w:pPr>
    </w:lvl>
    <w:lvl w:ilvl="8" w:tplc="5D481700">
      <w:start w:val="1"/>
      <w:numFmt w:val="decimal"/>
      <w:lvlText w:val="%9."/>
      <w:lvlJc w:val="left"/>
      <w:pPr>
        <w:ind w:left="64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A6"/>
    <w:rsid w:val="00366216"/>
    <w:rsid w:val="006B070D"/>
    <w:rsid w:val="009D20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2758A-C40E-41F9-9684-1604984D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styleId="Tekstbalonia">
    <w:name w:val="Balloon Text"/>
    <w:basedOn w:val="Normal"/>
    <w:link w:val="TekstbaloniaChar"/>
    <w:uiPriority w:val="99"/>
    <w:semiHidden/>
    <w:unhideWhenUsed/>
    <w:rsid w:val="0036621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6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2026-01-29T12:27:00Z</cp:lastPrinted>
  <dcterms:created xsi:type="dcterms:W3CDTF">2026-01-29T12:27:00Z</dcterms:created>
  <dcterms:modified xsi:type="dcterms:W3CDTF">2026-01-29T12:27:00Z</dcterms:modified>
</cp:coreProperties>
</file>